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CC3" w:rsidRDefault="00EA1374" w:rsidP="005B4EC6">
      <w:pPr>
        <w:ind w:firstLine="0"/>
        <w:rPr>
          <w:rFonts w:ascii="Arial" w:hAnsi="Arial" w:cs="Arial"/>
        </w:rPr>
      </w:pPr>
      <w:r>
        <w:rPr>
          <w:noProof/>
          <w:lang w:eastAsia="fr-FR"/>
        </w:rPr>
        <w:drawing>
          <wp:anchor distT="0" distB="0" distL="114300" distR="114300" simplePos="0" relativeHeight="251659264" behindDoc="0" locked="0" layoutInCell="1" allowOverlap="1" wp14:anchorId="51D28203" wp14:editId="0D169B14">
            <wp:simplePos x="0" y="0"/>
            <wp:positionH relativeFrom="page">
              <wp:posOffset>899795</wp:posOffset>
            </wp:positionH>
            <wp:positionV relativeFrom="page">
              <wp:posOffset>572306</wp:posOffset>
            </wp:positionV>
            <wp:extent cx="1057275" cy="885825"/>
            <wp:effectExtent l="0" t="0" r="0" b="9525"/>
            <wp:wrapTight wrapText="bothSides">
              <wp:wrapPolygon edited="0">
                <wp:start x="9341" y="0"/>
                <wp:lineTo x="4670" y="6039"/>
                <wp:lineTo x="3114" y="11613"/>
                <wp:lineTo x="4281" y="14865"/>
                <wp:lineTo x="8951" y="21368"/>
                <wp:lineTo x="9341" y="21368"/>
                <wp:lineTo x="11676" y="21368"/>
                <wp:lineTo x="12065" y="21368"/>
                <wp:lineTo x="17124" y="14865"/>
                <wp:lineTo x="18681" y="10684"/>
                <wp:lineTo x="16735" y="8361"/>
                <wp:lineTo x="16735" y="6039"/>
                <wp:lineTo x="11676" y="0"/>
                <wp:lineTo x="9341" y="0"/>
              </wp:wrapPolygon>
            </wp:wrapTight>
            <wp:docPr id="2" name="Image 2" descr="A2DRC4"/>
            <wp:cNvGraphicFramePr/>
            <a:graphic xmlns:a="http://schemas.openxmlformats.org/drawingml/2006/main">
              <a:graphicData uri="http://schemas.openxmlformats.org/drawingml/2006/picture">
                <pic:pic xmlns:pic="http://schemas.openxmlformats.org/drawingml/2006/picture">
                  <pic:nvPicPr>
                    <pic:cNvPr id="2" name="Image 2" descr="A2DRC4"/>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57275" cy="885825"/>
                    </a:xfrm>
                    <a:prstGeom prst="rect">
                      <a:avLst/>
                    </a:prstGeom>
                    <a:noFill/>
                    <a:ln>
                      <a:noFill/>
                    </a:ln>
                  </pic:spPr>
                </pic:pic>
              </a:graphicData>
            </a:graphic>
          </wp:anchor>
        </w:drawing>
      </w:r>
      <w:r>
        <w:rPr>
          <w:rFonts w:ascii="Arial" w:hAnsi="Arial" w:cs="Arial"/>
        </w:rPr>
        <w:tab/>
      </w:r>
      <w:r w:rsidR="005B4EC6" w:rsidRPr="005B5C78">
        <w:rPr>
          <w:rFonts w:ascii="Arial" w:hAnsi="Arial" w:cs="Arial"/>
        </w:rPr>
        <w:tab/>
      </w:r>
      <w:r w:rsidR="005B4EC6" w:rsidRPr="005B5C78">
        <w:rPr>
          <w:rFonts w:ascii="Arial" w:hAnsi="Arial" w:cs="Arial"/>
        </w:rPr>
        <w:tab/>
      </w:r>
      <w:r w:rsidR="005B4EC6" w:rsidRPr="005B5C78">
        <w:rPr>
          <w:rFonts w:ascii="Arial" w:hAnsi="Arial" w:cs="Arial"/>
        </w:rPr>
        <w:tab/>
      </w:r>
      <w:r w:rsidR="005B4EC6" w:rsidRPr="005B5C78">
        <w:rPr>
          <w:rFonts w:ascii="Arial" w:hAnsi="Arial" w:cs="Arial"/>
        </w:rPr>
        <w:tab/>
      </w:r>
      <w:r w:rsidR="005B4EC6" w:rsidRPr="005B5C78">
        <w:rPr>
          <w:rFonts w:ascii="Arial" w:hAnsi="Arial" w:cs="Arial"/>
        </w:rPr>
        <w:tab/>
        <w:t xml:space="preserve">Toulouse le </w:t>
      </w:r>
      <w:r w:rsidR="009F46C4">
        <w:rPr>
          <w:rFonts w:ascii="Arial" w:hAnsi="Arial" w:cs="Arial"/>
        </w:rPr>
        <w:t xml:space="preserve">4 septembre </w:t>
      </w:r>
      <w:r w:rsidR="005B4EC6" w:rsidRPr="005B5C78">
        <w:rPr>
          <w:rFonts w:ascii="Arial" w:hAnsi="Arial" w:cs="Arial"/>
        </w:rPr>
        <w:t>202</w:t>
      </w:r>
      <w:r w:rsidR="00644323" w:rsidRPr="005B5C78">
        <w:rPr>
          <w:rFonts w:ascii="Arial" w:hAnsi="Arial" w:cs="Arial"/>
        </w:rPr>
        <w:t>4</w:t>
      </w:r>
    </w:p>
    <w:p w:rsidR="00EA1374" w:rsidRDefault="00EA1374" w:rsidP="005B4EC6">
      <w:pPr>
        <w:ind w:firstLine="0"/>
        <w:rPr>
          <w:rFonts w:ascii="Arial" w:hAnsi="Arial" w:cs="Arial"/>
        </w:rPr>
      </w:pPr>
    </w:p>
    <w:p w:rsidR="00EA1374" w:rsidRDefault="00EA1374" w:rsidP="005B4EC6">
      <w:pPr>
        <w:ind w:firstLine="0"/>
        <w:rPr>
          <w:rFonts w:ascii="Arial" w:hAnsi="Arial" w:cs="Arial"/>
        </w:rPr>
      </w:pPr>
    </w:p>
    <w:p w:rsidR="00EA1374" w:rsidRDefault="00EA1374" w:rsidP="005B4EC6">
      <w:pPr>
        <w:ind w:firstLine="0"/>
        <w:rPr>
          <w:rFonts w:ascii="Arial" w:hAnsi="Arial" w:cs="Arial"/>
        </w:rPr>
      </w:pPr>
    </w:p>
    <w:p w:rsidR="00EA1374" w:rsidRPr="005B5C78" w:rsidRDefault="00EA1374" w:rsidP="005B4EC6">
      <w:pPr>
        <w:ind w:firstLine="0"/>
        <w:rPr>
          <w:rFonts w:ascii="Arial" w:hAnsi="Arial" w:cs="Arial"/>
        </w:rPr>
      </w:pPr>
      <w:bookmarkStart w:id="0" w:name="_GoBack"/>
      <w:bookmarkEnd w:id="0"/>
    </w:p>
    <w:p w:rsidR="005B4EC6" w:rsidRPr="005B5C78" w:rsidRDefault="005B4EC6" w:rsidP="005B4EC6">
      <w:pPr>
        <w:ind w:firstLine="0"/>
        <w:rPr>
          <w:rFonts w:ascii="Arial" w:hAnsi="Arial" w:cs="Arial"/>
        </w:rPr>
      </w:pPr>
    </w:p>
    <w:p w:rsidR="005B4EC6" w:rsidRPr="005B5C78" w:rsidRDefault="005B4EC6" w:rsidP="005B4EC6">
      <w:pPr>
        <w:ind w:firstLine="0"/>
        <w:rPr>
          <w:rFonts w:ascii="Arial" w:hAnsi="Arial" w:cs="Arial"/>
        </w:rPr>
      </w:pPr>
      <w:r w:rsidRPr="005B5C78">
        <w:rPr>
          <w:rFonts w:ascii="Arial" w:hAnsi="Arial" w:cs="Arial"/>
          <w:u w:val="single"/>
        </w:rPr>
        <w:t>Objet</w:t>
      </w:r>
      <w:r w:rsidRPr="005B5C78">
        <w:rPr>
          <w:rFonts w:ascii="Arial" w:hAnsi="Arial" w:cs="Arial"/>
        </w:rPr>
        <w:t> : Actualités sociales</w:t>
      </w:r>
    </w:p>
    <w:p w:rsidR="005B4EC6" w:rsidRDefault="005B4EC6" w:rsidP="005B4EC6">
      <w:pPr>
        <w:ind w:firstLine="0"/>
        <w:rPr>
          <w:rFonts w:ascii="Arial" w:hAnsi="Arial" w:cs="Arial"/>
        </w:rPr>
      </w:pPr>
    </w:p>
    <w:p w:rsidR="001F34EF" w:rsidRPr="003A6E6E" w:rsidRDefault="001F34EF" w:rsidP="005B4EC6">
      <w:pPr>
        <w:ind w:firstLine="0"/>
        <w:rPr>
          <w:rFonts w:ascii="Arial" w:hAnsi="Arial" w:cs="Arial"/>
          <w:sz w:val="24"/>
          <w:szCs w:val="24"/>
        </w:rPr>
      </w:pPr>
      <w:r w:rsidRPr="003A6E6E">
        <w:rPr>
          <w:rFonts w:ascii="Arial" w:hAnsi="Arial" w:cs="Arial"/>
          <w:sz w:val="24"/>
          <w:szCs w:val="24"/>
          <w:u w:val="single"/>
        </w:rPr>
        <w:t>Le Média Social 23 août 2024</w:t>
      </w:r>
      <w:r w:rsidRPr="003A6E6E">
        <w:rPr>
          <w:rFonts w:ascii="Arial" w:hAnsi="Arial" w:cs="Arial"/>
          <w:sz w:val="24"/>
          <w:szCs w:val="24"/>
        </w:rPr>
        <w:t> : Une note d’information du 8 juillet  2024 diffuse les orientations nationales en matière d’hébergement temporaire, en sortie d’hospitalisation. Reconnu par les Agences Régionales de Santé (ARS) « comme une solution qui mérite d’être déployée davantage, son cadrage nécessite, une clarification au niveau national ». Ce dispositif permet un hébergement temporaire de 30 jours en EHPAD à partir de places disponibles et donc sans création.</w:t>
      </w:r>
    </w:p>
    <w:p w:rsidR="001F34EF" w:rsidRPr="003A6E6E" w:rsidRDefault="001F34EF" w:rsidP="005B4EC6">
      <w:pPr>
        <w:ind w:firstLine="0"/>
        <w:rPr>
          <w:rFonts w:ascii="Arial" w:hAnsi="Arial" w:cs="Arial"/>
          <w:sz w:val="24"/>
          <w:szCs w:val="24"/>
        </w:rPr>
      </w:pPr>
    </w:p>
    <w:p w:rsidR="001F34EF" w:rsidRPr="003A6E6E" w:rsidRDefault="001F34EF" w:rsidP="005B4EC6">
      <w:pPr>
        <w:ind w:firstLine="0"/>
        <w:rPr>
          <w:rFonts w:ascii="Arial" w:hAnsi="Arial" w:cs="Arial"/>
          <w:sz w:val="24"/>
          <w:szCs w:val="24"/>
        </w:rPr>
      </w:pPr>
      <w:r w:rsidRPr="003A6E6E">
        <w:rPr>
          <w:rFonts w:ascii="Arial" w:hAnsi="Arial" w:cs="Arial"/>
          <w:sz w:val="24"/>
          <w:szCs w:val="24"/>
          <w:u w:val="single"/>
        </w:rPr>
        <w:t>Le Quotidien du Médecin 29 août 2024 </w:t>
      </w:r>
      <w:r w:rsidRPr="003A6E6E">
        <w:rPr>
          <w:rFonts w:ascii="Arial" w:hAnsi="Arial" w:cs="Arial"/>
          <w:sz w:val="24"/>
          <w:szCs w:val="24"/>
        </w:rPr>
        <w:t>: Une étude suédoise parue dans « </w:t>
      </w:r>
      <w:proofErr w:type="spellStart"/>
      <w:r w:rsidRPr="003A6E6E">
        <w:rPr>
          <w:rFonts w:ascii="Arial" w:hAnsi="Arial" w:cs="Arial"/>
          <w:sz w:val="24"/>
          <w:szCs w:val="24"/>
        </w:rPr>
        <w:t>Neuro</w:t>
      </w:r>
      <w:r w:rsidR="008C15DE">
        <w:rPr>
          <w:rFonts w:ascii="Arial" w:hAnsi="Arial" w:cs="Arial"/>
          <w:sz w:val="24"/>
          <w:szCs w:val="24"/>
        </w:rPr>
        <w:t>l</w:t>
      </w:r>
      <w:r w:rsidRPr="003A6E6E">
        <w:rPr>
          <w:rFonts w:ascii="Arial" w:hAnsi="Arial" w:cs="Arial"/>
          <w:sz w:val="24"/>
          <w:szCs w:val="24"/>
        </w:rPr>
        <w:t>ogy</w:t>
      </w:r>
      <w:proofErr w:type="spellEnd"/>
      <w:r w:rsidRPr="003A6E6E">
        <w:rPr>
          <w:rFonts w:ascii="Arial" w:hAnsi="Arial" w:cs="Arial"/>
          <w:sz w:val="24"/>
          <w:szCs w:val="24"/>
        </w:rPr>
        <w:t> » a évalué l’association entre la survenue d’une insuffisance rénale aigüe et le développement d’une démence, dans une cohorte de 300 000 individus âgés, suivis pendant 12 ans.</w:t>
      </w:r>
    </w:p>
    <w:p w:rsidR="001F34EF" w:rsidRPr="003A6E6E" w:rsidRDefault="001F34EF" w:rsidP="005B4EC6">
      <w:pPr>
        <w:ind w:firstLine="0"/>
        <w:rPr>
          <w:rFonts w:ascii="Arial" w:hAnsi="Arial" w:cs="Arial"/>
          <w:sz w:val="24"/>
          <w:szCs w:val="24"/>
          <w:u w:val="single"/>
        </w:rPr>
      </w:pPr>
    </w:p>
    <w:p w:rsidR="001F34EF" w:rsidRPr="003A6E6E" w:rsidRDefault="001F34EF" w:rsidP="005B4EC6">
      <w:pPr>
        <w:ind w:firstLine="0"/>
        <w:rPr>
          <w:rFonts w:ascii="Arial" w:hAnsi="Arial" w:cs="Arial"/>
          <w:sz w:val="24"/>
          <w:szCs w:val="24"/>
        </w:rPr>
      </w:pPr>
      <w:r w:rsidRPr="003A6E6E">
        <w:rPr>
          <w:rFonts w:ascii="Arial" w:hAnsi="Arial" w:cs="Arial"/>
          <w:sz w:val="24"/>
          <w:szCs w:val="24"/>
          <w:u w:val="single"/>
        </w:rPr>
        <w:t>La Dépêche 1</w:t>
      </w:r>
      <w:r w:rsidRPr="003A6E6E">
        <w:rPr>
          <w:rFonts w:ascii="Arial" w:hAnsi="Arial" w:cs="Arial"/>
          <w:sz w:val="24"/>
          <w:szCs w:val="24"/>
          <w:u w:val="single"/>
          <w:vertAlign w:val="superscript"/>
        </w:rPr>
        <w:t>er</w:t>
      </w:r>
      <w:r w:rsidRPr="003A6E6E">
        <w:rPr>
          <w:rFonts w:ascii="Arial" w:hAnsi="Arial" w:cs="Arial"/>
          <w:sz w:val="24"/>
          <w:szCs w:val="24"/>
          <w:u w:val="single"/>
        </w:rPr>
        <w:t xml:space="preserve"> septembre 2024</w:t>
      </w:r>
      <w:r w:rsidRPr="003A6E6E">
        <w:rPr>
          <w:rFonts w:ascii="Arial" w:hAnsi="Arial" w:cs="Arial"/>
          <w:sz w:val="24"/>
          <w:szCs w:val="24"/>
        </w:rPr>
        <w:t> : 1,1 millions retraités vont voir leur pension augment</w:t>
      </w:r>
      <w:r w:rsidR="00DC245A">
        <w:rPr>
          <w:rFonts w:ascii="Arial" w:hAnsi="Arial" w:cs="Arial"/>
          <w:sz w:val="24"/>
          <w:szCs w:val="24"/>
        </w:rPr>
        <w:t>er</w:t>
      </w:r>
      <w:r w:rsidRPr="003A6E6E">
        <w:rPr>
          <w:rFonts w:ascii="Arial" w:hAnsi="Arial" w:cs="Arial"/>
          <w:sz w:val="24"/>
          <w:szCs w:val="24"/>
        </w:rPr>
        <w:t xml:space="preserve"> de 56 euros par mois, en moyenne, soit 672 euros par an. Une revalorisation du minimum contributif qui était prévue dans le cadre de la réforme des retraites adoptée en 2023 Sont concernées, les personnes qui ont eu une carrière ininterrompue, qui ont cotisé au moins 120 trimestres, avec une rémunération proche du SMIC.</w:t>
      </w:r>
    </w:p>
    <w:p w:rsidR="00355C35" w:rsidRPr="003A6E6E" w:rsidRDefault="00355C35" w:rsidP="005B4EC6">
      <w:pPr>
        <w:ind w:firstLine="0"/>
        <w:rPr>
          <w:rFonts w:ascii="Arial" w:hAnsi="Arial" w:cs="Arial"/>
          <w:sz w:val="24"/>
          <w:szCs w:val="24"/>
        </w:rPr>
      </w:pPr>
    </w:p>
    <w:p w:rsidR="00355C35" w:rsidRPr="003A6E6E" w:rsidRDefault="00355C35" w:rsidP="005B4EC6">
      <w:pPr>
        <w:ind w:firstLine="0"/>
        <w:rPr>
          <w:rFonts w:ascii="Arial" w:hAnsi="Arial" w:cs="Arial"/>
          <w:sz w:val="24"/>
          <w:szCs w:val="24"/>
        </w:rPr>
      </w:pPr>
      <w:r w:rsidRPr="00DC245A">
        <w:rPr>
          <w:rFonts w:ascii="Arial" w:hAnsi="Arial" w:cs="Arial"/>
          <w:sz w:val="24"/>
          <w:szCs w:val="24"/>
          <w:u w:val="single"/>
        </w:rPr>
        <w:t>Le Média Social 2 septembre 2024</w:t>
      </w:r>
      <w:r w:rsidRPr="003A6E6E">
        <w:rPr>
          <w:rFonts w:ascii="Arial" w:hAnsi="Arial" w:cs="Arial"/>
          <w:sz w:val="24"/>
          <w:szCs w:val="24"/>
        </w:rPr>
        <w:t> : Un arrêté du 20 août rénove le titre professionnel de « responsable coordonnateur services au domicile ». Son rôle en matière de bientraitance et de qualité de vie au travail est renforcé. Une place est, par ailleurs, faite à l’analyse de la pratique professionnelle.</w:t>
      </w:r>
    </w:p>
    <w:p w:rsidR="00355C35" w:rsidRPr="003A6E6E" w:rsidRDefault="00355C35" w:rsidP="005B4EC6">
      <w:pPr>
        <w:ind w:firstLine="0"/>
        <w:rPr>
          <w:rFonts w:ascii="Arial" w:hAnsi="Arial" w:cs="Arial"/>
          <w:sz w:val="24"/>
          <w:szCs w:val="24"/>
        </w:rPr>
      </w:pPr>
    </w:p>
    <w:p w:rsidR="00355C35" w:rsidRPr="003A6E6E" w:rsidRDefault="006F574D" w:rsidP="005B4EC6">
      <w:pPr>
        <w:ind w:firstLine="0"/>
        <w:rPr>
          <w:rFonts w:ascii="Arial" w:hAnsi="Arial" w:cs="Arial"/>
          <w:sz w:val="24"/>
          <w:szCs w:val="24"/>
        </w:rPr>
      </w:pPr>
      <w:r w:rsidRPr="00DC245A">
        <w:rPr>
          <w:rFonts w:ascii="Arial" w:hAnsi="Arial" w:cs="Arial"/>
          <w:sz w:val="24"/>
          <w:szCs w:val="24"/>
          <w:u w:val="single"/>
        </w:rPr>
        <w:t>La Dépêche du 4 septembre 2024</w:t>
      </w:r>
      <w:r w:rsidRPr="003A6E6E">
        <w:rPr>
          <w:rFonts w:ascii="Arial" w:hAnsi="Arial" w:cs="Arial"/>
          <w:sz w:val="24"/>
          <w:szCs w:val="24"/>
        </w:rPr>
        <w:t> : Le Président du MEDEF, Patrick Martin, a souhaité reprendre la négociation « inaboutie » sur l’emploi des Seniors.</w:t>
      </w:r>
    </w:p>
    <w:p w:rsidR="006F574D" w:rsidRPr="003A6E6E" w:rsidRDefault="006F574D" w:rsidP="005B4EC6">
      <w:pPr>
        <w:ind w:firstLine="0"/>
        <w:rPr>
          <w:rFonts w:ascii="Arial" w:hAnsi="Arial" w:cs="Arial"/>
          <w:sz w:val="24"/>
          <w:szCs w:val="24"/>
        </w:rPr>
      </w:pPr>
    </w:p>
    <w:p w:rsidR="006F574D" w:rsidRPr="003A6E6E" w:rsidRDefault="006F574D" w:rsidP="005B4EC6">
      <w:pPr>
        <w:ind w:firstLine="0"/>
        <w:rPr>
          <w:rFonts w:ascii="Arial" w:hAnsi="Arial" w:cs="Arial"/>
          <w:sz w:val="24"/>
          <w:szCs w:val="24"/>
        </w:rPr>
      </w:pPr>
      <w:r w:rsidRPr="00DC245A">
        <w:rPr>
          <w:rFonts w:ascii="Arial" w:hAnsi="Arial" w:cs="Arial"/>
          <w:sz w:val="24"/>
          <w:szCs w:val="24"/>
          <w:u w:val="single"/>
        </w:rPr>
        <w:t>La Dépêche du 4 septembre 2024</w:t>
      </w:r>
      <w:r w:rsidRPr="003A6E6E">
        <w:rPr>
          <w:rFonts w:ascii="Arial" w:hAnsi="Arial" w:cs="Arial"/>
          <w:sz w:val="24"/>
          <w:szCs w:val="24"/>
        </w:rPr>
        <w:t xml:space="preserve"> : L’installation officielle, à Toulouse, de l’IHU </w:t>
      </w:r>
      <w:proofErr w:type="spellStart"/>
      <w:r w:rsidRPr="003A6E6E">
        <w:rPr>
          <w:rFonts w:ascii="Arial" w:hAnsi="Arial" w:cs="Arial"/>
          <w:sz w:val="24"/>
          <w:szCs w:val="24"/>
        </w:rPr>
        <w:t>Health</w:t>
      </w:r>
      <w:proofErr w:type="spellEnd"/>
      <w:r w:rsidRPr="003A6E6E">
        <w:rPr>
          <w:rFonts w:ascii="Arial" w:hAnsi="Arial" w:cs="Arial"/>
          <w:sz w:val="24"/>
          <w:szCs w:val="24"/>
        </w:rPr>
        <w:t xml:space="preserve"> Carr, Institut dédié à la Prévention du vieillissement date de 4 mois. Plusieurs programmes sont menés et notamment l’application ICOPE Monitor qui permet d’évaluer le maintien des fonctions essentielles des seniors. : Mobilité, mémoire, nutrition, bien être psychique, vue et audition. 60 000 seniors en France, suivent ce programme. L’objectif est de limiter la perte d’autonomie et de parvenir à identifier les facteurs associés au déclin. Les signes de déclin concernent la cognition dans 52% des cas, l’audition (48%), la vision (46%), la psychologie (38%), la mobilité (30%), la vitalité (19%). La recherche « Inspire T » est le second pilier des travaux de l’IHU qui doit permettre de mieux comprendre les mécanismes biologiques du vieillissement. Pourquoi certains sujets déclinent et d’autres pas ? Quelle est la trajectoire du vieillissement </w:t>
      </w:r>
      <w:r w:rsidR="00940A27">
        <w:rPr>
          <w:rFonts w:ascii="Arial" w:hAnsi="Arial" w:cs="Arial"/>
          <w:sz w:val="24"/>
          <w:szCs w:val="24"/>
        </w:rPr>
        <w:t>e</w:t>
      </w:r>
      <w:r w:rsidRPr="003A6E6E">
        <w:rPr>
          <w:rFonts w:ascii="Arial" w:hAnsi="Arial" w:cs="Arial"/>
          <w:sz w:val="24"/>
          <w:szCs w:val="24"/>
        </w:rPr>
        <w:t>n santé ? Dans les prochaines années, l’IHU veut avancer sur le projet de clinique de la longévité et il travaille sur l’OPEN Science, c’est-à-dire l’ouverture des données acquises vers la communauté scientifique internationale.</w:t>
      </w:r>
    </w:p>
    <w:p w:rsidR="006F574D" w:rsidRPr="003A6E6E" w:rsidRDefault="006F574D" w:rsidP="005B4EC6">
      <w:pPr>
        <w:ind w:firstLine="0"/>
        <w:rPr>
          <w:rFonts w:ascii="Arial" w:hAnsi="Arial" w:cs="Arial"/>
          <w:sz w:val="24"/>
          <w:szCs w:val="24"/>
        </w:rPr>
      </w:pPr>
    </w:p>
    <w:p w:rsidR="006F574D" w:rsidRPr="003A6E6E" w:rsidRDefault="006F574D" w:rsidP="005B4EC6">
      <w:pPr>
        <w:ind w:firstLine="0"/>
        <w:rPr>
          <w:rFonts w:ascii="Arial" w:hAnsi="Arial" w:cs="Arial"/>
          <w:sz w:val="24"/>
          <w:szCs w:val="24"/>
        </w:rPr>
      </w:pPr>
      <w:r w:rsidRPr="003A6E6E">
        <w:rPr>
          <w:rFonts w:ascii="Arial" w:hAnsi="Arial" w:cs="Arial"/>
          <w:sz w:val="24"/>
          <w:szCs w:val="24"/>
        </w:rPr>
        <w:t>Francis De Block</w:t>
      </w:r>
    </w:p>
    <w:sectPr w:rsidR="006F574D" w:rsidRPr="003A6E6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60D0" w:rsidRDefault="004760D0" w:rsidP="007B61C9">
      <w:pPr>
        <w:spacing w:line="240" w:lineRule="auto"/>
      </w:pPr>
      <w:r>
        <w:separator/>
      </w:r>
    </w:p>
  </w:endnote>
  <w:endnote w:type="continuationSeparator" w:id="0">
    <w:p w:rsidR="004760D0" w:rsidRDefault="004760D0" w:rsidP="007B61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5478263"/>
      <w:docPartObj>
        <w:docPartGallery w:val="Page Numbers (Bottom of Page)"/>
        <w:docPartUnique/>
      </w:docPartObj>
    </w:sdtPr>
    <w:sdtEndPr/>
    <w:sdtContent>
      <w:p w:rsidR="007B61C9" w:rsidRDefault="007B61C9">
        <w:pPr>
          <w:pStyle w:val="Pieddepage"/>
          <w:jc w:val="right"/>
        </w:pPr>
        <w:r>
          <w:fldChar w:fldCharType="begin"/>
        </w:r>
        <w:r>
          <w:instrText>PAGE   \* MERGEFORMAT</w:instrText>
        </w:r>
        <w:r>
          <w:fldChar w:fldCharType="separate"/>
        </w:r>
        <w:r w:rsidR="00EA1374">
          <w:rPr>
            <w:noProof/>
          </w:rPr>
          <w:t>1</w:t>
        </w:r>
        <w:r>
          <w:fldChar w:fldCharType="end"/>
        </w:r>
      </w:p>
    </w:sdtContent>
  </w:sdt>
  <w:p w:rsidR="007B61C9" w:rsidRDefault="007B61C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60D0" w:rsidRDefault="004760D0" w:rsidP="007B61C9">
      <w:pPr>
        <w:spacing w:line="240" w:lineRule="auto"/>
      </w:pPr>
      <w:r>
        <w:separator/>
      </w:r>
    </w:p>
  </w:footnote>
  <w:footnote w:type="continuationSeparator" w:id="0">
    <w:p w:rsidR="004760D0" w:rsidRDefault="004760D0" w:rsidP="007B61C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EC6"/>
    <w:rsid w:val="000979D0"/>
    <w:rsid w:val="000A7D34"/>
    <w:rsid w:val="000B200B"/>
    <w:rsid w:val="00122678"/>
    <w:rsid w:val="00162F8D"/>
    <w:rsid w:val="001A1CC3"/>
    <w:rsid w:val="001A65CF"/>
    <w:rsid w:val="001F00B4"/>
    <w:rsid w:val="001F34EF"/>
    <w:rsid w:val="001F71A5"/>
    <w:rsid w:val="001F7E30"/>
    <w:rsid w:val="00210305"/>
    <w:rsid w:val="0023178B"/>
    <w:rsid w:val="00253703"/>
    <w:rsid w:val="0027443B"/>
    <w:rsid w:val="0029024B"/>
    <w:rsid w:val="002C6A62"/>
    <w:rsid w:val="002F2E3E"/>
    <w:rsid w:val="003268A5"/>
    <w:rsid w:val="00330C64"/>
    <w:rsid w:val="003470B3"/>
    <w:rsid w:val="00355C35"/>
    <w:rsid w:val="00364D09"/>
    <w:rsid w:val="00377FFE"/>
    <w:rsid w:val="003914F8"/>
    <w:rsid w:val="003A1400"/>
    <w:rsid w:val="003A6E6E"/>
    <w:rsid w:val="003B2099"/>
    <w:rsid w:val="003C7B23"/>
    <w:rsid w:val="003E714D"/>
    <w:rsid w:val="003F4C21"/>
    <w:rsid w:val="00472EFF"/>
    <w:rsid w:val="004734CB"/>
    <w:rsid w:val="004760D0"/>
    <w:rsid w:val="00490C98"/>
    <w:rsid w:val="00491D9A"/>
    <w:rsid w:val="004B1B2B"/>
    <w:rsid w:val="004F12BB"/>
    <w:rsid w:val="005127A9"/>
    <w:rsid w:val="00514DBD"/>
    <w:rsid w:val="005B4EC6"/>
    <w:rsid w:val="005B5C78"/>
    <w:rsid w:val="005C4E36"/>
    <w:rsid w:val="005F7C3B"/>
    <w:rsid w:val="005F7CAA"/>
    <w:rsid w:val="006035F2"/>
    <w:rsid w:val="00610BF0"/>
    <w:rsid w:val="00630D40"/>
    <w:rsid w:val="00644323"/>
    <w:rsid w:val="006F574D"/>
    <w:rsid w:val="0070685F"/>
    <w:rsid w:val="00754EB6"/>
    <w:rsid w:val="0076109E"/>
    <w:rsid w:val="007810A2"/>
    <w:rsid w:val="007B61C9"/>
    <w:rsid w:val="007C204D"/>
    <w:rsid w:val="007F6EE0"/>
    <w:rsid w:val="008007CD"/>
    <w:rsid w:val="00813BF4"/>
    <w:rsid w:val="008143D5"/>
    <w:rsid w:val="00865494"/>
    <w:rsid w:val="00872FE8"/>
    <w:rsid w:val="00874E27"/>
    <w:rsid w:val="008C15DE"/>
    <w:rsid w:val="008C7CB3"/>
    <w:rsid w:val="008D417C"/>
    <w:rsid w:val="008F1FAB"/>
    <w:rsid w:val="008F392F"/>
    <w:rsid w:val="008F7E1C"/>
    <w:rsid w:val="009330F6"/>
    <w:rsid w:val="00935374"/>
    <w:rsid w:val="00940A27"/>
    <w:rsid w:val="009F46C4"/>
    <w:rsid w:val="00A05384"/>
    <w:rsid w:val="00A32992"/>
    <w:rsid w:val="00A356D8"/>
    <w:rsid w:val="00A70FA7"/>
    <w:rsid w:val="00A73C8A"/>
    <w:rsid w:val="00A96CF9"/>
    <w:rsid w:val="00AB0DB8"/>
    <w:rsid w:val="00AC0CCC"/>
    <w:rsid w:val="00AE171D"/>
    <w:rsid w:val="00B0402D"/>
    <w:rsid w:val="00B133B4"/>
    <w:rsid w:val="00B4622B"/>
    <w:rsid w:val="00B636CF"/>
    <w:rsid w:val="00BA08AB"/>
    <w:rsid w:val="00BB27D3"/>
    <w:rsid w:val="00C03F28"/>
    <w:rsid w:val="00C33801"/>
    <w:rsid w:val="00C36F35"/>
    <w:rsid w:val="00C52DEF"/>
    <w:rsid w:val="00C62478"/>
    <w:rsid w:val="00C62FB4"/>
    <w:rsid w:val="00C63D13"/>
    <w:rsid w:val="00C66209"/>
    <w:rsid w:val="00C849FB"/>
    <w:rsid w:val="00C9776D"/>
    <w:rsid w:val="00CD668C"/>
    <w:rsid w:val="00D44C1D"/>
    <w:rsid w:val="00D7366B"/>
    <w:rsid w:val="00D84AEE"/>
    <w:rsid w:val="00DC0473"/>
    <w:rsid w:val="00DC1C4A"/>
    <w:rsid w:val="00DC245A"/>
    <w:rsid w:val="00DE0AE6"/>
    <w:rsid w:val="00DF0B0B"/>
    <w:rsid w:val="00E14627"/>
    <w:rsid w:val="00E5222B"/>
    <w:rsid w:val="00E56DBF"/>
    <w:rsid w:val="00E57F91"/>
    <w:rsid w:val="00E80E6F"/>
    <w:rsid w:val="00E964C0"/>
    <w:rsid w:val="00EA1374"/>
    <w:rsid w:val="00EE2401"/>
    <w:rsid w:val="00F82211"/>
    <w:rsid w:val="00FD2AB6"/>
    <w:rsid w:val="00FD44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634653-4FAE-4252-8CED-C9D9B4538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line="22" w:lineRule="atLeast"/>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80E6F"/>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80E6F"/>
    <w:rPr>
      <w:rFonts w:ascii="Segoe UI" w:hAnsi="Segoe UI" w:cs="Segoe UI"/>
      <w:sz w:val="18"/>
      <w:szCs w:val="18"/>
    </w:rPr>
  </w:style>
  <w:style w:type="paragraph" w:styleId="En-tte">
    <w:name w:val="header"/>
    <w:basedOn w:val="Normal"/>
    <w:link w:val="En-tteCar"/>
    <w:uiPriority w:val="99"/>
    <w:unhideWhenUsed/>
    <w:rsid w:val="007B61C9"/>
    <w:pPr>
      <w:tabs>
        <w:tab w:val="center" w:pos="4536"/>
        <w:tab w:val="right" w:pos="9072"/>
      </w:tabs>
      <w:spacing w:line="240" w:lineRule="auto"/>
    </w:pPr>
  </w:style>
  <w:style w:type="character" w:customStyle="1" w:styleId="En-tteCar">
    <w:name w:val="En-tête Car"/>
    <w:basedOn w:val="Policepardfaut"/>
    <w:link w:val="En-tte"/>
    <w:uiPriority w:val="99"/>
    <w:rsid w:val="007B61C9"/>
  </w:style>
  <w:style w:type="paragraph" w:styleId="Pieddepage">
    <w:name w:val="footer"/>
    <w:basedOn w:val="Normal"/>
    <w:link w:val="PieddepageCar"/>
    <w:uiPriority w:val="99"/>
    <w:unhideWhenUsed/>
    <w:rsid w:val="007B61C9"/>
    <w:pPr>
      <w:tabs>
        <w:tab w:val="center" w:pos="4536"/>
        <w:tab w:val="right" w:pos="9072"/>
      </w:tabs>
      <w:spacing w:line="240" w:lineRule="auto"/>
    </w:pPr>
  </w:style>
  <w:style w:type="character" w:customStyle="1" w:styleId="PieddepageCar">
    <w:name w:val="Pied de page Car"/>
    <w:basedOn w:val="Policepardfaut"/>
    <w:link w:val="Pieddepage"/>
    <w:uiPriority w:val="99"/>
    <w:rsid w:val="007B61C9"/>
  </w:style>
  <w:style w:type="character" w:styleId="Marquedecommentaire">
    <w:name w:val="annotation reference"/>
    <w:basedOn w:val="Policepardfaut"/>
    <w:uiPriority w:val="99"/>
    <w:semiHidden/>
    <w:unhideWhenUsed/>
    <w:rsid w:val="0023178B"/>
    <w:rPr>
      <w:sz w:val="16"/>
      <w:szCs w:val="16"/>
    </w:rPr>
  </w:style>
  <w:style w:type="paragraph" w:styleId="Commentaire">
    <w:name w:val="annotation text"/>
    <w:basedOn w:val="Normal"/>
    <w:link w:val="CommentaireCar"/>
    <w:uiPriority w:val="99"/>
    <w:semiHidden/>
    <w:unhideWhenUsed/>
    <w:rsid w:val="0023178B"/>
    <w:pPr>
      <w:spacing w:line="240" w:lineRule="auto"/>
    </w:pPr>
    <w:rPr>
      <w:sz w:val="20"/>
      <w:szCs w:val="20"/>
    </w:rPr>
  </w:style>
  <w:style w:type="character" w:customStyle="1" w:styleId="CommentaireCar">
    <w:name w:val="Commentaire Car"/>
    <w:basedOn w:val="Policepardfaut"/>
    <w:link w:val="Commentaire"/>
    <w:uiPriority w:val="99"/>
    <w:semiHidden/>
    <w:rsid w:val="0023178B"/>
    <w:rPr>
      <w:sz w:val="20"/>
      <w:szCs w:val="20"/>
    </w:rPr>
  </w:style>
  <w:style w:type="paragraph" w:styleId="Objetducommentaire">
    <w:name w:val="annotation subject"/>
    <w:basedOn w:val="Commentaire"/>
    <w:next w:val="Commentaire"/>
    <w:link w:val="ObjetducommentaireCar"/>
    <w:uiPriority w:val="99"/>
    <w:semiHidden/>
    <w:unhideWhenUsed/>
    <w:rsid w:val="0023178B"/>
    <w:rPr>
      <w:b/>
      <w:bCs/>
    </w:rPr>
  </w:style>
  <w:style w:type="character" w:customStyle="1" w:styleId="ObjetducommentaireCar">
    <w:name w:val="Objet du commentaire Car"/>
    <w:basedOn w:val="CommentaireCar"/>
    <w:link w:val="Objetducommentaire"/>
    <w:uiPriority w:val="99"/>
    <w:semiHidden/>
    <w:rsid w:val="0023178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417</TotalTime>
  <Pages>1</Pages>
  <Words>438</Words>
  <Characters>2413</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76</cp:revision>
  <cp:lastPrinted>2024-03-25T11:11:00Z</cp:lastPrinted>
  <dcterms:created xsi:type="dcterms:W3CDTF">2023-01-08T14:47:00Z</dcterms:created>
  <dcterms:modified xsi:type="dcterms:W3CDTF">2024-09-04T15:26:00Z</dcterms:modified>
</cp:coreProperties>
</file>